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7146D02E"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w:t>
      </w:r>
      <w:r w:rsidR="00895C7D">
        <w:rPr>
          <w:rFonts w:ascii="Tahoma" w:hAnsi="Tahoma" w:cs="Tahoma"/>
          <w:b/>
          <w:bCs/>
          <w:sz w:val="21"/>
          <w:szCs w:val="21"/>
        </w:rPr>
        <w:t>EXTRA</w:t>
      </w:r>
      <w:r>
        <w:rPr>
          <w:rFonts w:ascii="Tahoma" w:hAnsi="Tahoma" w:cs="Tahoma"/>
          <w:b/>
          <w:bCs/>
          <w:sz w:val="21"/>
          <w:szCs w:val="21"/>
        </w:rPr>
        <w:t>ORDINARĂ A ACȚIONARILOR („AG</w:t>
      </w:r>
      <w:r w:rsidR="00895C7D">
        <w:rPr>
          <w:rFonts w:ascii="Tahoma" w:hAnsi="Tahoma" w:cs="Tahoma"/>
          <w:b/>
          <w:bCs/>
          <w:sz w:val="21"/>
          <w:szCs w:val="21"/>
        </w:rPr>
        <w:t>E</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49FB86B7" w:rsidR="00E825DE" w:rsidRPr="0030093D" w:rsidRDefault="00C26520"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30093D">
        <w:rPr>
          <w:rFonts w:ascii="Tahoma" w:hAnsi="Tahoma" w:cs="Tahoma"/>
          <w:sz w:val="21"/>
          <w:szCs w:val="21"/>
        </w:rPr>
        <w:t xml:space="preserve"> ora 1</w:t>
      </w:r>
      <w:r w:rsidR="00895C7D">
        <w:rPr>
          <w:rFonts w:ascii="Tahoma" w:hAnsi="Tahoma" w:cs="Tahoma"/>
          <w:sz w:val="21"/>
          <w:szCs w:val="21"/>
        </w:rPr>
        <w:t>1</w:t>
      </w:r>
      <w:r w:rsidR="0030093D" w:rsidRPr="0030093D">
        <w:rPr>
          <w:rFonts w:ascii="Tahoma" w:hAnsi="Tahoma" w:cs="Tahoma"/>
          <w:sz w:val="21"/>
          <w:szCs w:val="21"/>
        </w:rPr>
        <w:t xml:space="preserve">:00 ora României (prima convocare) / </w:t>
      </w:r>
      <w:r>
        <w:rPr>
          <w:rFonts w:ascii="Tahoma" w:hAnsi="Tahoma" w:cs="Tahoma"/>
          <w:sz w:val="21"/>
          <w:szCs w:val="21"/>
        </w:rPr>
        <w:t>20.04.2023</w:t>
      </w:r>
      <w:r w:rsidR="0030093D" w:rsidRPr="0030093D">
        <w:rPr>
          <w:rFonts w:ascii="Tahoma" w:hAnsi="Tahoma" w:cs="Tahoma"/>
          <w:sz w:val="21"/>
          <w:szCs w:val="21"/>
        </w:rPr>
        <w:t xml:space="preserve"> ora 1</w:t>
      </w:r>
      <w:r w:rsidR="00895C7D">
        <w:rPr>
          <w:rFonts w:ascii="Tahoma" w:hAnsi="Tahoma" w:cs="Tahoma"/>
          <w:sz w:val="21"/>
          <w:szCs w:val="21"/>
        </w:rPr>
        <w:t>1</w:t>
      </w:r>
      <w:r w:rsidR="0030093D" w:rsidRPr="0030093D">
        <w:rPr>
          <w:rFonts w:ascii="Tahoma" w:hAnsi="Tahoma" w:cs="Tahoma"/>
          <w:sz w:val="21"/>
          <w:szCs w:val="21"/>
        </w:rPr>
        <w:t>:00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38268CCB"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895C7D">
        <w:rPr>
          <w:rFonts w:ascii="Tahoma" w:hAnsi="Tahoma" w:cs="Tahoma"/>
          <w:sz w:val="21"/>
          <w:szCs w:val="21"/>
        </w:rPr>
        <w:t>E</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42293EA5" w14:textId="6D03B7A4" w:rsidR="00F31FA3" w:rsidRPr="00F31FA3" w:rsidRDefault="00895C7D" w:rsidP="00F31FA3">
      <w:pPr>
        <w:spacing w:after="175" w:line="285" w:lineRule="exact"/>
        <w:ind w:left="426"/>
        <w:jc w:val="both"/>
        <w:rPr>
          <w:rFonts w:ascii="Tahoma" w:hAnsi="Tahoma" w:cs="Tahoma"/>
          <w:sz w:val="21"/>
          <w:szCs w:val="21"/>
        </w:rPr>
      </w:pPr>
      <w:r>
        <w:rPr>
          <w:rFonts w:ascii="Tahoma" w:hAnsi="Tahoma" w:cs="Tahoma"/>
          <w:sz w:val="21"/>
          <w:szCs w:val="21"/>
        </w:rPr>
        <w:t xml:space="preserve">Aprobarea eliminării art. 6.4. și 6.5. din Actul Constitutiv al Societății, având în vedere faptul că Societatea este admisă la tranzacționare în cadrul sistemului multilateral de tranzacționare </w:t>
      </w:r>
      <w:proofErr w:type="spellStart"/>
      <w:r>
        <w:rPr>
          <w:rFonts w:ascii="Tahoma" w:hAnsi="Tahoma" w:cs="Tahoma"/>
          <w:sz w:val="21"/>
          <w:szCs w:val="21"/>
        </w:rPr>
        <w:t>AeRO</w:t>
      </w:r>
      <w:proofErr w:type="spellEnd"/>
      <w:r>
        <w:rPr>
          <w:rFonts w:ascii="Tahoma" w:hAnsi="Tahoma" w:cs="Tahoma"/>
          <w:sz w:val="21"/>
          <w:szCs w:val="21"/>
        </w:rPr>
        <w:t xml:space="preserve">, operat de Bursa de Valori București, iar structura capitalului social, precum și numărul </w:t>
      </w:r>
      <w:r>
        <w:rPr>
          <w:rFonts w:ascii="Tahoma" w:hAnsi="Tahoma" w:cs="Tahoma"/>
          <w:sz w:val="21"/>
          <w:szCs w:val="21"/>
        </w:rPr>
        <w:lastRenderedPageBreak/>
        <w:t>de acționari poate varia, în funcție de tranzacțiile ce au loc în cadrul acestei piețe și renumerotarea sub-articolelor din cadrul art. 6, pentru a reflecta cele de mai sus</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55B60AD8"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6.6. din Actul Constitutiv al Societății, care va avea următorul conținut:</w:t>
      </w:r>
    </w:p>
    <w:p w14:paraId="43CAE2DA" w14:textId="77777777" w:rsidR="00895C7D" w:rsidRDefault="00895C7D" w:rsidP="00895C7D">
      <w:pPr>
        <w:spacing w:after="175" w:line="285" w:lineRule="exact"/>
        <w:ind w:left="426"/>
        <w:jc w:val="both"/>
        <w:rPr>
          <w:rFonts w:ascii="Tahoma" w:hAnsi="Tahoma" w:cs="Tahoma"/>
          <w:sz w:val="21"/>
          <w:szCs w:val="21"/>
        </w:rPr>
      </w:pPr>
      <w:r>
        <w:rPr>
          <w:rFonts w:ascii="Tahoma" w:hAnsi="Tahoma" w:cs="Tahoma"/>
          <w:sz w:val="21"/>
          <w:szCs w:val="21"/>
        </w:rPr>
        <w:t>„</w:t>
      </w:r>
      <w:r>
        <w:rPr>
          <w:rFonts w:ascii="Tahoma" w:hAnsi="Tahoma" w:cs="Tahoma"/>
          <w:i/>
          <w:iCs/>
          <w:sz w:val="21"/>
          <w:szCs w:val="21"/>
        </w:rPr>
        <w:t>Registrul Acționarilor Societății este ținut de Depozitarul Central S.A., în conformitate cu legislația aplicabilă pieței de capital și Codul Depozitarului Central.</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616F1BEC" w14:textId="3BABD359" w:rsidR="00DE3377" w:rsidRDefault="00B83A50" w:rsidP="00DE337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Punctul 3 de pe ordinea de zi:</w:t>
      </w:r>
      <w:r w:rsidR="00C26520" w:rsidRPr="00895C7D">
        <w:rPr>
          <w:rFonts w:ascii="Tahoma" w:hAnsi="Tahoma" w:cs="Tahoma"/>
          <w:b/>
          <w:bCs/>
          <w:sz w:val="21"/>
          <w:szCs w:val="21"/>
        </w:rPr>
        <w:t xml:space="preserve"> </w:t>
      </w:r>
    </w:p>
    <w:p w14:paraId="78B70108"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7.3. din Actul Constitutiv al Societății, care va avea următorul conținut:</w:t>
      </w:r>
    </w:p>
    <w:p w14:paraId="1FAF8F5D" w14:textId="2D25F1BF" w:rsid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57009F">
        <w:rPr>
          <w:rFonts w:ascii="Tahoma" w:hAnsi="Tahoma" w:cs="Tahoma"/>
          <w:i/>
          <w:iCs/>
          <w:sz w:val="21"/>
          <w:szCs w:val="21"/>
        </w:rPr>
        <w:t>7.3.</w:t>
      </w:r>
      <w:r>
        <w:rPr>
          <w:rFonts w:ascii="Tahoma" w:hAnsi="Tahoma" w:cs="Tahoma"/>
          <w:i/>
          <w:iCs/>
          <w:sz w:val="21"/>
          <w:szCs w:val="21"/>
        </w:rPr>
        <w:t xml:space="preserve"> </w:t>
      </w:r>
      <w:r w:rsidRPr="0057009F">
        <w:rPr>
          <w:rFonts w:ascii="Tahoma" w:hAnsi="Tahoma" w:cs="Tahoma"/>
          <w:i/>
          <w:iCs/>
          <w:sz w:val="21"/>
          <w:szCs w:val="21"/>
        </w:rPr>
        <w:t>Dreptul de proprietate asupra acțiunilor se va transmite potrivit prevederilor legale aplicabile Societății, inclusiv ale legislației aplicabile pieței de capital și a altor reglementări incidente acesteia.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3E454425" w14:textId="77777777" w:rsidTr="00087F90">
        <w:tc>
          <w:tcPr>
            <w:tcW w:w="1667" w:type="pct"/>
          </w:tcPr>
          <w:p w14:paraId="65A5B2C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0C9A42A"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2ABA77C"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57AFA957" w14:textId="77777777" w:rsidTr="00087F90">
        <w:tc>
          <w:tcPr>
            <w:tcW w:w="1667" w:type="pct"/>
          </w:tcPr>
          <w:p w14:paraId="02542247"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B3A14E"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640314A" w14:textId="77777777" w:rsidR="00895C7D" w:rsidRPr="0030093D" w:rsidRDefault="00895C7D" w:rsidP="00087F90">
            <w:pPr>
              <w:spacing w:before="120" w:after="175" w:line="285" w:lineRule="exact"/>
              <w:rPr>
                <w:rFonts w:ascii="Tahoma" w:hAnsi="Tahoma" w:cs="Tahoma"/>
                <w:sz w:val="21"/>
                <w:szCs w:val="21"/>
              </w:rPr>
            </w:pPr>
          </w:p>
        </w:tc>
      </w:tr>
    </w:tbl>
    <w:p w14:paraId="59F5C2E6" w14:textId="54619241"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 xml:space="preserve">NOTĂ: Indicați votul Dvs. prin bifarea cu un „X” a uneia dintre căsuțele aferente variantelor „PENTRU”, „ÎMPOTRIVĂ” sau „ABȚINERE”, în funcție de opțiunea acționarului. În situația în </w:t>
      </w:r>
      <w:r w:rsidRPr="00D162A0">
        <w:rPr>
          <w:rFonts w:ascii="Tahoma" w:hAnsi="Tahoma" w:cs="Tahoma"/>
          <w:bCs/>
          <w:i/>
          <w:iCs/>
          <w:sz w:val="21"/>
          <w:szCs w:val="21"/>
        </w:rPr>
        <w:lastRenderedPageBreak/>
        <w:t>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E34B42F" w14:textId="77777777" w:rsidR="00895C7D" w:rsidRPr="00895C7D" w:rsidRDefault="00895C7D" w:rsidP="00895C7D">
      <w:pPr>
        <w:spacing w:before="120" w:after="175" w:line="285" w:lineRule="exact"/>
        <w:ind w:left="426"/>
        <w:jc w:val="both"/>
        <w:rPr>
          <w:rFonts w:ascii="Tahoma" w:hAnsi="Tahoma" w:cs="Tahoma"/>
          <w:bCs/>
          <w:sz w:val="21"/>
          <w:szCs w:val="21"/>
        </w:rPr>
      </w:pP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556852B2"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7.6. din Actul Constitutiv al Societății, care va avea următorul conținut:</w:t>
      </w:r>
    </w:p>
    <w:p w14:paraId="1E39493D" w14:textId="24896FA4" w:rsid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7.6.</w:t>
      </w:r>
      <w:r>
        <w:rPr>
          <w:rFonts w:ascii="Tahoma" w:hAnsi="Tahoma" w:cs="Tahoma"/>
          <w:i/>
          <w:iCs/>
          <w:sz w:val="21"/>
          <w:szCs w:val="21"/>
        </w:rPr>
        <w:t xml:space="preserve"> </w:t>
      </w:r>
      <w:r w:rsidRPr="00641966">
        <w:rPr>
          <w:rFonts w:ascii="Tahoma" w:hAnsi="Tahoma" w:cs="Tahoma"/>
          <w:i/>
          <w:iCs/>
          <w:sz w:val="21"/>
          <w:szCs w:val="21"/>
        </w:rPr>
        <w:t>Constituirea de garanții reale mobiliare asupra acțiunilor se face în conformitate cu prevederile legale, inclusiv cu cele aplicabile pieței de capital din România, garanția urmând a fi înregistrată în registrul acționarilor ținut de către Depozitarul Central S.A. și se va înscrie, de asemenea, în Registrul Național de Publicitate Mobiliară.</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226CA62E" w14:textId="06F1507C" w:rsidR="006937ED" w:rsidRDefault="00B83A50"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2A95D9D" w14:textId="77777777" w:rsidR="00895C7D" w:rsidRPr="00895C7D" w:rsidRDefault="00895C7D" w:rsidP="00895C7D">
      <w:pPr>
        <w:spacing w:before="120" w:after="175" w:line="285" w:lineRule="exact"/>
        <w:ind w:left="426"/>
        <w:jc w:val="both"/>
        <w:rPr>
          <w:rFonts w:ascii="Tahoma" w:hAnsi="Tahoma" w:cs="Tahoma"/>
          <w:bCs/>
          <w:sz w:val="21"/>
          <w:szCs w:val="21"/>
        </w:rPr>
      </w:pP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623986F8"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8.18. din Actul Constitutiv al Societății, care va avea următorul conținut:</w:t>
      </w:r>
    </w:p>
    <w:p w14:paraId="53FBB72D" w14:textId="4BF859F6" w:rsid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8.18.</w:t>
      </w:r>
      <w:r>
        <w:rPr>
          <w:rFonts w:ascii="Tahoma" w:hAnsi="Tahoma" w:cs="Tahoma"/>
          <w:i/>
          <w:iCs/>
          <w:sz w:val="21"/>
          <w:szCs w:val="21"/>
        </w:rPr>
        <w:t xml:space="preserve"> </w:t>
      </w:r>
      <w:r w:rsidRPr="00641966">
        <w:rPr>
          <w:rFonts w:ascii="Tahoma" w:hAnsi="Tahoma" w:cs="Tahoma"/>
          <w:i/>
          <w:iCs/>
          <w:sz w:val="21"/>
          <w:szCs w:val="21"/>
        </w:rPr>
        <w:t>Hotărârea privind majorarea capitalului social are efect numai în măsura în care a fost adusă la îndeplinire in termen de 18 (optsprezece) luni de la data adoptării acesteia.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Pr="00D162A0" w:rsidRDefault="006937ED" w:rsidP="00B83A50">
      <w:pPr>
        <w:spacing w:before="120" w:after="175" w:line="285" w:lineRule="exact"/>
        <w:jc w:val="both"/>
        <w:rPr>
          <w:rFonts w:ascii="Tahoma" w:hAnsi="Tahoma" w:cs="Tahoma"/>
          <w:bCs/>
          <w:i/>
          <w:iCs/>
          <w:sz w:val="21"/>
          <w:szCs w:val="21"/>
        </w:rPr>
      </w:pP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3AB6272E" w14:textId="77777777" w:rsidR="00895C7D" w:rsidRPr="00895C7D" w:rsidRDefault="00895C7D" w:rsidP="00895C7D">
      <w:pPr>
        <w:spacing w:after="175" w:line="285" w:lineRule="exact"/>
        <w:ind w:left="426"/>
        <w:jc w:val="both"/>
        <w:rPr>
          <w:rFonts w:ascii="Tahoma" w:hAnsi="Tahoma" w:cs="Tahoma"/>
          <w:sz w:val="21"/>
          <w:szCs w:val="21"/>
        </w:rPr>
      </w:pPr>
      <w:bookmarkStart w:id="0" w:name="_Hlk112758137"/>
      <w:r w:rsidRPr="00895C7D">
        <w:rPr>
          <w:rFonts w:ascii="Tahoma" w:hAnsi="Tahoma" w:cs="Tahoma"/>
          <w:sz w:val="21"/>
          <w:szCs w:val="21"/>
        </w:rPr>
        <w:t>Aprobarea modificării art. 9.10. din Actul Constitutiv al Societății, care va avea următorul conținut:</w:t>
      </w:r>
    </w:p>
    <w:p w14:paraId="7909E739" w14:textId="77777777" w:rsid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lastRenderedPageBreak/>
        <w:t>„</w:t>
      </w:r>
      <w:r w:rsidRPr="00641966">
        <w:rPr>
          <w:rFonts w:ascii="Tahoma" w:hAnsi="Tahoma" w:cs="Tahoma"/>
          <w:i/>
          <w:iCs/>
          <w:sz w:val="21"/>
          <w:szCs w:val="21"/>
        </w:rPr>
        <w:t>9.10.</w:t>
      </w:r>
      <w:r w:rsidRPr="00641966">
        <w:rPr>
          <w:rFonts w:ascii="Tahoma" w:hAnsi="Tahoma" w:cs="Tahoma"/>
          <w:i/>
          <w:iCs/>
          <w:sz w:val="21"/>
          <w:szCs w:val="21"/>
        </w:rPr>
        <w:tab/>
        <w:t>Exercitarea dreptului de retragere a acționarilor din Societate se realizează în condițiile și cu respectarea procedurilor stabilite prin lege, inclusiv legislația pieței de capital.</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0"/>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86A192" w14:textId="70F122BF" w:rsidR="00F31FA3" w:rsidRDefault="00F31FA3" w:rsidP="00B83A50">
      <w:pPr>
        <w:spacing w:before="120" w:after="175" w:line="285" w:lineRule="exact"/>
        <w:jc w:val="both"/>
        <w:rPr>
          <w:rFonts w:ascii="Tahoma" w:hAnsi="Tahoma" w:cs="Tahoma"/>
          <w:bCs/>
          <w:sz w:val="21"/>
          <w:szCs w:val="21"/>
        </w:rPr>
      </w:pP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427E49CA"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11.1. din Actul Constitutiv al Societății, care va avea următorul conținut:</w:t>
      </w:r>
    </w:p>
    <w:p w14:paraId="20E6D231" w14:textId="622549D8" w:rsidR="00D77EF8" w:rsidRP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11.1.</w:t>
      </w:r>
      <w:r w:rsidRPr="00641966">
        <w:rPr>
          <w:rFonts w:ascii="Tahoma" w:hAnsi="Tahoma" w:cs="Tahoma"/>
          <w:i/>
          <w:iCs/>
          <w:sz w:val="21"/>
          <w:szCs w:val="21"/>
        </w:rPr>
        <w:tab/>
      </w:r>
      <w:bookmarkStart w:id="1" w:name="_Hlk129868208"/>
      <w:r w:rsidRPr="00641966">
        <w:rPr>
          <w:rFonts w:ascii="Tahoma" w:hAnsi="Tahoma" w:cs="Tahoma"/>
          <w:i/>
          <w:iCs/>
          <w:sz w:val="21"/>
          <w:szCs w:val="21"/>
        </w:rPr>
        <w:t>Adunarea Generală Ordinară a Acționarilor se întrunește cel puțin o dată pe an, în cel mult 4 luni de la încheierea exercițiului financiar anterior. Adunarea Generală Ordinară a Acționarilor are atribuțiile prevăzute de lege</w:t>
      </w:r>
      <w:bookmarkEnd w:id="1"/>
      <w:r>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6A9E40F3"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542E8CCF" w14:textId="18DCB592" w:rsidR="00895C7D" w:rsidRDefault="00895C7D" w:rsidP="00C26520">
      <w:pPr>
        <w:spacing w:before="120" w:after="175" w:line="285" w:lineRule="exact"/>
        <w:ind w:left="426"/>
        <w:jc w:val="both"/>
        <w:rPr>
          <w:rFonts w:ascii="Tahoma" w:hAnsi="Tahoma" w:cs="Tahoma"/>
          <w:bCs/>
          <w:sz w:val="21"/>
          <w:szCs w:val="21"/>
        </w:rPr>
      </w:pPr>
    </w:p>
    <w:p w14:paraId="1D9B97B6" w14:textId="6EAD99E3"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416DBF61"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14.2. din Actul Constitutiv al Societății, care va avea următorul conținut:</w:t>
      </w:r>
    </w:p>
    <w:p w14:paraId="2A53C2EF" w14:textId="77777777" w:rsidR="00895C7D"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B64037">
        <w:rPr>
          <w:rFonts w:ascii="Tahoma" w:hAnsi="Tahoma" w:cs="Tahoma"/>
          <w:i/>
          <w:iCs/>
          <w:sz w:val="21"/>
          <w:szCs w:val="21"/>
        </w:rPr>
        <w:t>14.2.</w:t>
      </w:r>
      <w:r w:rsidRPr="00B64037">
        <w:rPr>
          <w:rFonts w:ascii="Tahoma" w:hAnsi="Tahoma" w:cs="Tahoma"/>
          <w:i/>
          <w:iCs/>
          <w:sz w:val="21"/>
          <w:szCs w:val="21"/>
        </w:rPr>
        <w:tab/>
      </w:r>
      <w:bookmarkStart w:id="2" w:name="_Hlk129868526"/>
      <w:r w:rsidRPr="00B64037">
        <w:rPr>
          <w:rFonts w:ascii="Tahoma" w:hAnsi="Tahoma" w:cs="Tahoma"/>
          <w:i/>
          <w:iCs/>
          <w:sz w:val="21"/>
          <w:szCs w:val="21"/>
        </w:rPr>
        <w:t>Adunarea Generală Extraordinară a Acționarilor este legal constituită dacă acționarii reprezentând cel puțin 25% din numărul total de drepturi de vot sunt prezenți sau reprezentați. La cea de a doua convocare, AGEA este legal constituită dacă acționarii (prezenți sau reprezentați) dețin minim 20% din numărul total de drepturi de vot. În ambele cazuri, hotărârile se adoptă în mod valabil cu majoritatea voturilor deținute de acționarii prezenți sau reprezentați</w:t>
      </w:r>
      <w:bookmarkEnd w:id="2"/>
      <w:r w:rsidRPr="00B64037">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1F41FA7E" w14:textId="77777777" w:rsidTr="00087F90">
        <w:tc>
          <w:tcPr>
            <w:tcW w:w="1667" w:type="pct"/>
          </w:tcPr>
          <w:p w14:paraId="00B3613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CA660A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5D81FA0"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6826BF21" w14:textId="77777777" w:rsidTr="00087F90">
        <w:tc>
          <w:tcPr>
            <w:tcW w:w="1667" w:type="pct"/>
          </w:tcPr>
          <w:p w14:paraId="4133848C"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70C15A"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0B69960" w14:textId="77777777" w:rsidR="00895C7D" w:rsidRPr="0030093D" w:rsidRDefault="00895C7D" w:rsidP="00087F90">
            <w:pPr>
              <w:spacing w:before="120" w:after="175" w:line="285" w:lineRule="exact"/>
              <w:rPr>
                <w:rFonts w:ascii="Tahoma" w:hAnsi="Tahoma" w:cs="Tahoma"/>
                <w:sz w:val="21"/>
                <w:szCs w:val="21"/>
              </w:rPr>
            </w:pPr>
          </w:p>
        </w:tc>
      </w:tr>
    </w:tbl>
    <w:p w14:paraId="317F4B3A" w14:textId="4B96A4F6"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D4358EA" w14:textId="4BB70A42" w:rsidR="00895C7D" w:rsidRDefault="00895C7D" w:rsidP="00895C7D">
      <w:pPr>
        <w:spacing w:before="120" w:after="175" w:line="285" w:lineRule="exact"/>
        <w:ind w:left="426"/>
        <w:jc w:val="both"/>
        <w:rPr>
          <w:rFonts w:ascii="Tahoma" w:hAnsi="Tahoma" w:cs="Tahoma"/>
          <w:bCs/>
          <w:sz w:val="21"/>
          <w:szCs w:val="21"/>
        </w:rPr>
      </w:pPr>
    </w:p>
    <w:p w14:paraId="5F7E509C" w14:textId="3027E72D"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28FAFC3E"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17.27 din Actul Constitutiv al Societății, care va avea următorul conținut:</w:t>
      </w:r>
    </w:p>
    <w:p w14:paraId="3FAB9504" w14:textId="77777777" w:rsidR="00895C7D" w:rsidRPr="0057009F" w:rsidRDefault="00895C7D" w:rsidP="00895C7D">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E1CB0">
        <w:rPr>
          <w:rFonts w:ascii="Tahoma" w:hAnsi="Tahoma" w:cs="Tahoma"/>
          <w:i/>
          <w:iCs/>
          <w:sz w:val="21"/>
          <w:szCs w:val="21"/>
        </w:rPr>
        <w:t>17.27.</w:t>
      </w:r>
      <w:r w:rsidRPr="006E1CB0">
        <w:rPr>
          <w:rFonts w:ascii="Tahoma" w:hAnsi="Tahoma" w:cs="Tahoma"/>
          <w:i/>
          <w:iCs/>
          <w:sz w:val="21"/>
          <w:szCs w:val="21"/>
        </w:rPr>
        <w:tab/>
      </w:r>
      <w:bookmarkStart w:id="3" w:name="_Hlk129868614"/>
      <w:r w:rsidRPr="006E1CB0">
        <w:rPr>
          <w:rFonts w:ascii="Tahoma" w:hAnsi="Tahoma" w:cs="Tahoma"/>
          <w:i/>
          <w:iCs/>
          <w:sz w:val="21"/>
          <w:szCs w:val="21"/>
        </w:rPr>
        <w:t>Administratorul care nu a respectat prevederile pct. 17.26 va răspunde pentru daunele ce au rezultat pentru Societate</w:t>
      </w:r>
      <w:bookmarkEnd w:id="3"/>
      <w:r w:rsidRPr="006E1CB0">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59D75D7A" w14:textId="77777777" w:rsidTr="00087F90">
        <w:tc>
          <w:tcPr>
            <w:tcW w:w="1667" w:type="pct"/>
          </w:tcPr>
          <w:p w14:paraId="557FA40E"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CC59397"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2BBCDE9"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2E919F7F" w14:textId="77777777" w:rsidTr="00087F90">
        <w:tc>
          <w:tcPr>
            <w:tcW w:w="1667" w:type="pct"/>
          </w:tcPr>
          <w:p w14:paraId="3629F87F"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032EFE8D"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CE8159B" w14:textId="77777777" w:rsidR="00895C7D" w:rsidRPr="0030093D" w:rsidRDefault="00895C7D" w:rsidP="00087F90">
            <w:pPr>
              <w:spacing w:before="120" w:after="175" w:line="285" w:lineRule="exact"/>
              <w:rPr>
                <w:rFonts w:ascii="Tahoma" w:hAnsi="Tahoma" w:cs="Tahoma"/>
                <w:sz w:val="21"/>
                <w:szCs w:val="21"/>
              </w:rPr>
            </w:pPr>
          </w:p>
        </w:tc>
      </w:tr>
    </w:tbl>
    <w:p w14:paraId="23A0A0DB" w14:textId="7F3DCD5B"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0FC2076" w14:textId="637600D8" w:rsidR="00895C7D" w:rsidRDefault="00895C7D" w:rsidP="00895C7D">
      <w:pPr>
        <w:spacing w:before="120" w:after="175" w:line="285" w:lineRule="exact"/>
        <w:ind w:left="426"/>
        <w:jc w:val="both"/>
        <w:rPr>
          <w:rFonts w:ascii="Tahoma" w:hAnsi="Tahoma" w:cs="Tahoma"/>
          <w:bCs/>
          <w:sz w:val="21"/>
          <w:szCs w:val="21"/>
        </w:rPr>
      </w:pPr>
    </w:p>
    <w:p w14:paraId="675F219E" w14:textId="1B568AEB"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351D1844"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 xml:space="preserve">Stabilirea datei de </w:t>
      </w:r>
      <w:r w:rsidRPr="00895C7D">
        <w:rPr>
          <w:rFonts w:ascii="Tahoma" w:hAnsi="Tahoma" w:cs="Tahoma"/>
          <w:b/>
          <w:bCs/>
          <w:sz w:val="21"/>
          <w:szCs w:val="21"/>
        </w:rPr>
        <w:t>10.05.2023</w:t>
      </w:r>
      <w:r w:rsidRPr="00895C7D">
        <w:rPr>
          <w:rFonts w:ascii="Tahoma" w:hAnsi="Tahoma" w:cs="Tahoma"/>
          <w:sz w:val="21"/>
          <w:szCs w:val="21"/>
        </w:rPr>
        <w:t xml:space="preserve"> ca dată de înregistrare pentru identificarea acționarilor asupra cărora se răsfrâng efectele hotărârilor adoptate de către AGEA, în conformitate cu prevederile art. 87 (1) din Legea nr. 24/2017 și a datei de </w:t>
      </w:r>
      <w:r w:rsidRPr="00895C7D">
        <w:rPr>
          <w:rFonts w:ascii="Tahoma" w:hAnsi="Tahoma" w:cs="Tahoma"/>
          <w:b/>
          <w:bCs/>
          <w:sz w:val="21"/>
          <w:szCs w:val="21"/>
        </w:rPr>
        <w:t>09.05.2023</w:t>
      </w:r>
      <w:r w:rsidRPr="00895C7D">
        <w:rPr>
          <w:rFonts w:ascii="Tahoma" w:hAnsi="Tahoma" w:cs="Tahoma"/>
          <w:sz w:val="21"/>
          <w:szCs w:val="21"/>
        </w:rPr>
        <w:t xml:space="preserve"> ca „ex-date”</w:t>
      </w:r>
      <w:r w:rsidRPr="009772DA">
        <w:t xml:space="preserve"> </w:t>
      </w:r>
      <w:r w:rsidRPr="00895C7D">
        <w:rPr>
          <w:rFonts w:ascii="Tahoma" w:hAnsi="Tahoma" w:cs="Tahoma"/>
          <w:sz w:val="21"/>
          <w:szCs w:val="21"/>
        </w:rPr>
        <w:t>calculată în conformitate cu prevederile art. 2 alin. (2) lit. (l) din Regulamentul nr. 5/2018. Data plății nu este aplicabilă.</w:t>
      </w:r>
    </w:p>
    <w:tbl>
      <w:tblPr>
        <w:tblStyle w:val="TableGrid"/>
        <w:tblW w:w="4795" w:type="pct"/>
        <w:tblInd w:w="421" w:type="dxa"/>
        <w:tblLook w:val="04A0" w:firstRow="1" w:lastRow="0" w:firstColumn="1" w:lastColumn="0" w:noHBand="0" w:noVBand="1"/>
      </w:tblPr>
      <w:tblGrid>
        <w:gridCol w:w="2882"/>
        <w:gridCol w:w="2883"/>
        <w:gridCol w:w="2881"/>
      </w:tblGrid>
      <w:tr w:rsidR="00895C7D" w14:paraId="2DF96185" w14:textId="77777777" w:rsidTr="00087F90">
        <w:tc>
          <w:tcPr>
            <w:tcW w:w="1667" w:type="pct"/>
          </w:tcPr>
          <w:p w14:paraId="5BC3755E"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47A7734"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93C00DA"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4561C524" w14:textId="77777777" w:rsidTr="00087F90">
        <w:tc>
          <w:tcPr>
            <w:tcW w:w="1667" w:type="pct"/>
          </w:tcPr>
          <w:p w14:paraId="531EF93E"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664C95C4"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231A5CAB" w14:textId="77777777" w:rsidR="00895C7D" w:rsidRPr="0030093D" w:rsidRDefault="00895C7D" w:rsidP="00087F90">
            <w:pPr>
              <w:spacing w:before="120" w:after="175" w:line="285" w:lineRule="exact"/>
              <w:rPr>
                <w:rFonts w:ascii="Tahoma" w:hAnsi="Tahoma" w:cs="Tahoma"/>
                <w:sz w:val="21"/>
                <w:szCs w:val="21"/>
              </w:rPr>
            </w:pPr>
          </w:p>
        </w:tc>
      </w:tr>
    </w:tbl>
    <w:p w14:paraId="52D4D8AF" w14:textId="036AED53"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81F2D6B" w14:textId="77777777" w:rsidR="00895C7D" w:rsidRDefault="00895C7D" w:rsidP="00895C7D">
      <w:pPr>
        <w:spacing w:before="120" w:after="175" w:line="285" w:lineRule="exact"/>
        <w:ind w:left="426"/>
        <w:jc w:val="both"/>
        <w:rPr>
          <w:rFonts w:ascii="Tahoma" w:hAnsi="Tahoma" w:cs="Tahoma"/>
          <w:bCs/>
          <w:sz w:val="21"/>
          <w:szCs w:val="21"/>
        </w:rPr>
      </w:pPr>
    </w:p>
    <w:p w14:paraId="76E92ABF" w14:textId="6A19C903" w:rsidR="00895C7D" w:rsidRDefault="00895C7D" w:rsidP="00895C7D">
      <w:pPr>
        <w:spacing w:before="120" w:after="175" w:line="285" w:lineRule="exact"/>
        <w:ind w:left="426"/>
        <w:jc w:val="both"/>
        <w:rPr>
          <w:rFonts w:ascii="Tahoma" w:hAnsi="Tahoma" w:cs="Tahoma"/>
          <w:bCs/>
          <w:sz w:val="21"/>
          <w:szCs w:val="21"/>
        </w:rPr>
      </w:pPr>
    </w:p>
    <w:p w14:paraId="38275B2B" w14:textId="3E4ECD3C"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lastRenderedPageBreak/>
        <w:t xml:space="preserve">Punctul </w:t>
      </w:r>
      <w:r>
        <w:rPr>
          <w:rFonts w:ascii="Tahoma" w:hAnsi="Tahoma" w:cs="Tahoma"/>
          <w:b/>
          <w:bCs/>
          <w:sz w:val="21"/>
          <w:szCs w:val="21"/>
        </w:rPr>
        <w:t>1</w:t>
      </w:r>
      <w:r>
        <w:rPr>
          <w:rFonts w:ascii="Tahoma" w:hAnsi="Tahoma" w:cs="Tahoma"/>
          <w:b/>
          <w:bCs/>
          <w:sz w:val="21"/>
          <w:szCs w:val="21"/>
        </w:rPr>
        <w:t>1</w:t>
      </w:r>
      <w:r w:rsidRPr="0030093D">
        <w:rPr>
          <w:rFonts w:ascii="Tahoma" w:hAnsi="Tahoma" w:cs="Tahoma"/>
          <w:b/>
          <w:bCs/>
          <w:sz w:val="21"/>
          <w:szCs w:val="21"/>
        </w:rPr>
        <w:t xml:space="preserve"> de pe ordinea de zi:</w:t>
      </w:r>
    </w:p>
    <w:p w14:paraId="2C47B660" w14:textId="77777777" w:rsidR="00895C7D" w:rsidRPr="00895C7D" w:rsidRDefault="00895C7D" w:rsidP="00895C7D">
      <w:pPr>
        <w:spacing w:after="175" w:line="285" w:lineRule="exact"/>
        <w:ind w:left="426"/>
        <w:jc w:val="both"/>
        <w:rPr>
          <w:rFonts w:ascii="Tahoma" w:hAnsi="Tahoma" w:cs="Tahoma"/>
          <w:sz w:val="21"/>
          <w:szCs w:val="21"/>
        </w:rPr>
      </w:pPr>
      <w:r w:rsidRPr="00895C7D">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95" w:type="pct"/>
        <w:tblInd w:w="421" w:type="dxa"/>
        <w:tblLook w:val="04A0" w:firstRow="1" w:lastRow="0" w:firstColumn="1" w:lastColumn="0" w:noHBand="0" w:noVBand="1"/>
      </w:tblPr>
      <w:tblGrid>
        <w:gridCol w:w="2882"/>
        <w:gridCol w:w="2883"/>
        <w:gridCol w:w="2881"/>
      </w:tblGrid>
      <w:tr w:rsidR="00895C7D" w14:paraId="616E27E8" w14:textId="77777777" w:rsidTr="00087F90">
        <w:tc>
          <w:tcPr>
            <w:tcW w:w="1667" w:type="pct"/>
          </w:tcPr>
          <w:p w14:paraId="54D75AE3"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4C6A3A2"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38070A5"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03E627B7" w14:textId="77777777" w:rsidTr="00087F90">
        <w:tc>
          <w:tcPr>
            <w:tcW w:w="1667" w:type="pct"/>
          </w:tcPr>
          <w:p w14:paraId="59FDD170"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9588D93"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553C4314" w14:textId="77777777" w:rsidR="00895C7D" w:rsidRPr="0030093D" w:rsidRDefault="00895C7D" w:rsidP="00087F90">
            <w:pPr>
              <w:spacing w:before="120" w:after="175" w:line="285" w:lineRule="exact"/>
              <w:rPr>
                <w:rFonts w:ascii="Tahoma" w:hAnsi="Tahoma" w:cs="Tahoma"/>
                <w:sz w:val="21"/>
                <w:szCs w:val="21"/>
              </w:rPr>
            </w:pPr>
          </w:p>
        </w:tc>
      </w:tr>
    </w:tbl>
    <w:p w14:paraId="4971B334" w14:textId="4A7FF1D6" w:rsidR="006937ED" w:rsidRP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6861562B"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895C7D">
        <w:rPr>
          <w:rFonts w:ascii="Tahoma" w:hAnsi="Tahoma" w:cs="Tahoma"/>
          <w:bCs/>
          <w:sz w:val="21"/>
          <w:szCs w:val="21"/>
        </w:rPr>
        <w:t>E</w:t>
      </w:r>
      <w:r w:rsidRPr="00B83A50">
        <w:rPr>
          <w:rFonts w:ascii="Tahoma" w:hAnsi="Tahoma" w:cs="Tahoma"/>
          <w:bCs/>
          <w:sz w:val="21"/>
          <w:szCs w:val="21"/>
        </w:rPr>
        <w:t xml:space="preserve">A este </w:t>
      </w:r>
      <w:r w:rsidR="00C26520" w:rsidRPr="00C26520">
        <w:rPr>
          <w:rFonts w:ascii="Tahoma" w:hAnsi="Tahoma" w:cs="Tahoma"/>
          <w:bCs/>
          <w:sz w:val="21"/>
          <w:szCs w:val="21"/>
        </w:rPr>
        <w:t xml:space="preserve">13.04.2023, ora 08:00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3529" w14:textId="77777777" w:rsidR="003F0481" w:rsidRDefault="003F0481" w:rsidP="00236933">
      <w:pPr>
        <w:spacing w:after="0" w:line="240" w:lineRule="auto"/>
      </w:pPr>
      <w:r>
        <w:separator/>
      </w:r>
    </w:p>
  </w:endnote>
  <w:endnote w:type="continuationSeparator" w:id="0">
    <w:p w14:paraId="2184BA77" w14:textId="77777777" w:rsidR="003F0481" w:rsidRDefault="003F0481"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370A" w14:textId="77777777" w:rsidR="003F0481" w:rsidRDefault="003F0481" w:rsidP="00236933">
      <w:pPr>
        <w:spacing w:after="0" w:line="240" w:lineRule="auto"/>
      </w:pPr>
      <w:r>
        <w:separator/>
      </w:r>
    </w:p>
  </w:footnote>
  <w:footnote w:type="continuationSeparator" w:id="0">
    <w:p w14:paraId="2610FE90" w14:textId="77777777" w:rsidR="003F0481" w:rsidRDefault="003F0481"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9404D"/>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10"/>
  </w:num>
  <w:num w:numId="2" w16cid:durableId="568615678">
    <w:abstractNumId w:val="11"/>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1"/>
  </w:num>
  <w:num w:numId="7" w16cid:durableId="48573488">
    <w:abstractNumId w:val="8"/>
  </w:num>
  <w:num w:numId="8" w16cid:durableId="1273199672">
    <w:abstractNumId w:val="13"/>
  </w:num>
  <w:num w:numId="9" w16cid:durableId="1743018152">
    <w:abstractNumId w:val="3"/>
  </w:num>
  <w:num w:numId="10" w16cid:durableId="1595819137">
    <w:abstractNumId w:val="15"/>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4"/>
  </w:num>
  <w:num w:numId="16" w16cid:durableId="586157588">
    <w:abstractNumId w:val="7"/>
  </w:num>
  <w:num w:numId="17" w16cid:durableId="873468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3F0481"/>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95C7D"/>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22</cp:revision>
  <dcterms:created xsi:type="dcterms:W3CDTF">2022-08-01T11:26:00Z</dcterms:created>
  <dcterms:modified xsi:type="dcterms:W3CDTF">2023-03-16T14:05:00Z</dcterms:modified>
</cp:coreProperties>
</file>