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5BB" w14:textId="288397C1"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p>
    <w:p w14:paraId="672E9375" w14:textId="3B862894"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ADUNAREA GENERALĂ ORDINARĂ A ACȚIONARILOR („AG</w:t>
      </w:r>
      <w:r w:rsidR="00D042D8">
        <w:rPr>
          <w:rFonts w:ascii="Tahoma" w:hAnsi="Tahoma" w:cs="Tahoma"/>
          <w:b/>
          <w:bCs/>
          <w:sz w:val="21"/>
          <w:szCs w:val="21"/>
        </w:rPr>
        <w:t>O</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56DEAD17" w14:textId="3E46D9B0" w:rsidR="00E825DE" w:rsidRPr="00694403" w:rsidRDefault="00076838" w:rsidP="00B83A50">
      <w:pPr>
        <w:spacing w:after="175" w:line="285" w:lineRule="exact"/>
        <w:jc w:val="center"/>
        <w:rPr>
          <w:rFonts w:ascii="Tahoma" w:hAnsi="Tahoma" w:cs="Tahoma"/>
          <w:sz w:val="21"/>
          <w:szCs w:val="21"/>
        </w:rPr>
      </w:pPr>
      <w:r>
        <w:rPr>
          <w:rFonts w:ascii="Tahoma" w:hAnsi="Tahoma" w:cs="Tahoma"/>
          <w:sz w:val="21"/>
          <w:szCs w:val="21"/>
        </w:rPr>
        <w:t>27</w:t>
      </w:r>
      <w:r w:rsidR="00D042D8">
        <w:rPr>
          <w:rFonts w:ascii="Tahoma" w:hAnsi="Tahoma" w:cs="Tahoma"/>
          <w:sz w:val="21"/>
          <w:szCs w:val="21"/>
        </w:rPr>
        <w:t>.0</w:t>
      </w:r>
      <w:r>
        <w:rPr>
          <w:rFonts w:ascii="Tahoma" w:hAnsi="Tahoma" w:cs="Tahoma"/>
          <w:sz w:val="21"/>
          <w:szCs w:val="21"/>
        </w:rPr>
        <w:t>9</w:t>
      </w:r>
      <w:r w:rsidR="00D042D8">
        <w:rPr>
          <w:rFonts w:ascii="Tahoma" w:hAnsi="Tahoma" w:cs="Tahoma"/>
          <w:sz w:val="21"/>
          <w:szCs w:val="21"/>
        </w:rPr>
        <w:t>.2023</w:t>
      </w:r>
      <w:r w:rsidR="0030093D" w:rsidRPr="00694403">
        <w:rPr>
          <w:rFonts w:ascii="Tahoma" w:hAnsi="Tahoma" w:cs="Tahoma"/>
          <w:sz w:val="21"/>
          <w:szCs w:val="21"/>
        </w:rPr>
        <w:t xml:space="preserve"> ora 1</w:t>
      </w:r>
      <w:r w:rsidR="00D042D8">
        <w:rPr>
          <w:rFonts w:ascii="Tahoma" w:hAnsi="Tahoma" w:cs="Tahoma"/>
          <w:sz w:val="21"/>
          <w:szCs w:val="21"/>
        </w:rPr>
        <w:t>0</w:t>
      </w:r>
      <w:r w:rsidR="0030093D" w:rsidRPr="00694403">
        <w:rPr>
          <w:rFonts w:ascii="Tahoma" w:hAnsi="Tahoma" w:cs="Tahoma"/>
          <w:sz w:val="21"/>
          <w:szCs w:val="21"/>
        </w:rPr>
        <w:t xml:space="preserve">:00 ora României (prima convocare) / </w:t>
      </w:r>
      <w:r>
        <w:rPr>
          <w:rFonts w:ascii="Tahoma" w:hAnsi="Tahoma" w:cs="Tahoma"/>
          <w:sz w:val="21"/>
          <w:szCs w:val="21"/>
        </w:rPr>
        <w:t>28</w:t>
      </w:r>
      <w:r>
        <w:rPr>
          <w:rFonts w:ascii="Tahoma" w:hAnsi="Tahoma" w:cs="Tahoma"/>
          <w:sz w:val="21"/>
          <w:szCs w:val="21"/>
        </w:rPr>
        <w:t>.09</w:t>
      </w:r>
      <w:r w:rsidR="00D042D8">
        <w:rPr>
          <w:rFonts w:ascii="Tahoma" w:hAnsi="Tahoma" w:cs="Tahoma"/>
          <w:sz w:val="21"/>
          <w:szCs w:val="21"/>
        </w:rPr>
        <w:t>.2023</w:t>
      </w:r>
      <w:r w:rsidR="0030093D" w:rsidRPr="00694403">
        <w:rPr>
          <w:rFonts w:ascii="Tahoma" w:hAnsi="Tahoma" w:cs="Tahoma"/>
          <w:sz w:val="21"/>
          <w:szCs w:val="21"/>
        </w:rPr>
        <w:t xml:space="preserve"> ora 1</w:t>
      </w:r>
      <w:r w:rsidR="00D042D8">
        <w:rPr>
          <w:rFonts w:ascii="Tahoma" w:hAnsi="Tahoma" w:cs="Tahoma"/>
          <w:sz w:val="21"/>
          <w:szCs w:val="21"/>
        </w:rPr>
        <w:t>0</w:t>
      </w:r>
      <w:r w:rsidR="0030093D" w:rsidRPr="00694403">
        <w:rPr>
          <w:rFonts w:ascii="Tahoma" w:hAnsi="Tahoma" w:cs="Tahoma"/>
          <w:sz w:val="21"/>
          <w:szCs w:val="21"/>
        </w:rPr>
        <w:t>:00 ora României (a doua convocare)</w:t>
      </w:r>
    </w:p>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14DAD02D"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r w:rsidR="00C45929" w:rsidRPr="00694403">
        <w:rPr>
          <w:rFonts w:ascii="Tahoma" w:hAnsi="Tahoma" w:cs="Tahoma"/>
          <w:sz w:val="21"/>
          <w:szCs w:val="21"/>
        </w:rPr>
        <w:t xml:space="preserve">1.026.690 </w:t>
      </w:r>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15D3168D"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D042D8">
        <w:rPr>
          <w:rFonts w:ascii="Tahoma" w:hAnsi="Tahoma" w:cs="Tahoma"/>
          <w:bCs/>
          <w:sz w:val="21"/>
          <w:szCs w:val="21"/>
        </w:rPr>
        <w:t>O</w:t>
      </w:r>
      <w:r w:rsidRPr="00694403">
        <w:rPr>
          <w:rFonts w:ascii="Tahoma" w:hAnsi="Tahoma" w:cs="Tahoma"/>
          <w:bCs/>
          <w:sz w:val="21"/>
          <w:szCs w:val="21"/>
        </w:rPr>
        <w:t>A, să exercite dreptul de vot aferent deţinerilor mele înregistrate în Registrul Acţionarilor după cum urmează:</w:t>
      </w:r>
    </w:p>
    <w:p w14:paraId="0FBF7DCD" w14:textId="77777777" w:rsidR="00D042D8" w:rsidRDefault="00D042D8" w:rsidP="00D042D8">
      <w:pPr>
        <w:spacing w:after="175" w:line="285" w:lineRule="exact"/>
        <w:jc w:val="both"/>
        <w:rPr>
          <w:rFonts w:ascii="Tahoma" w:hAnsi="Tahoma" w:cs="Tahoma"/>
          <w:sz w:val="21"/>
          <w:szCs w:val="21"/>
        </w:rPr>
      </w:pPr>
    </w:p>
    <w:p w14:paraId="3BF80479" w14:textId="77777777" w:rsidR="00076838" w:rsidRPr="0030093D" w:rsidRDefault="00076838" w:rsidP="0007683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34D06C47" w14:textId="77777777" w:rsidR="00076838" w:rsidRDefault="00076838" w:rsidP="00076838">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modului de repartizare a profitului net aferent anului financiar 2022, rămas nedistribuit, în sumă de 3.086.367,14 RON, astfel:</w:t>
      </w:r>
    </w:p>
    <w:p w14:paraId="3AD69CDC" w14:textId="77777777" w:rsidR="00076838" w:rsidRDefault="00076838" w:rsidP="00076838">
      <w:pPr>
        <w:numPr>
          <w:ilvl w:val="0"/>
          <w:numId w:val="17"/>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Capitalizare și utilizare în vederea acordării de acțiuni gratuite către acționari, printr-o operațiune de majorare a capitalului social: 1.052.042,1 (un milion cincizeci și două de mii patruzeci și doi virgulă unu) RON;</w:t>
      </w:r>
    </w:p>
    <w:p w14:paraId="564C7F2F" w14:textId="77777777" w:rsidR="00076838" w:rsidRPr="00AD6A32" w:rsidRDefault="00076838" w:rsidP="00076838">
      <w:pPr>
        <w:numPr>
          <w:ilvl w:val="0"/>
          <w:numId w:val="17"/>
        </w:numPr>
        <w:pBdr>
          <w:top w:val="nil"/>
          <w:left w:val="nil"/>
          <w:bottom w:val="nil"/>
          <w:right w:val="nil"/>
          <w:between w:val="nil"/>
        </w:pBdr>
        <w:spacing w:after="175" w:line="285" w:lineRule="auto"/>
        <w:jc w:val="both"/>
        <w:rPr>
          <w:rFonts w:ascii="Tahoma" w:eastAsia="Tahoma" w:hAnsi="Tahoma" w:cs="Tahoma"/>
          <w:color w:val="000000"/>
          <w:sz w:val="21"/>
          <w:szCs w:val="21"/>
        </w:rPr>
      </w:pPr>
      <w:r w:rsidRPr="00AD6A32">
        <w:rPr>
          <w:rFonts w:ascii="Tahoma" w:eastAsia="Tahoma" w:hAnsi="Tahoma" w:cs="Tahoma"/>
          <w:color w:val="000000"/>
          <w:sz w:val="21"/>
          <w:szCs w:val="21"/>
        </w:rPr>
        <w:lastRenderedPageBreak/>
        <w:t>Profit rămas nedistribuit: 2.034.325,04 (două milioane treizeci și patru de mii trei sute douăzeci și cinci virgulă zero patru) RON</w:t>
      </w:r>
      <w:r w:rsidRPr="00AD6A32">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076838" w14:paraId="3B306BE9" w14:textId="77777777" w:rsidTr="00AD1C6E">
        <w:tc>
          <w:tcPr>
            <w:tcW w:w="1667" w:type="pct"/>
          </w:tcPr>
          <w:p w14:paraId="4FB8110E"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3731DE6"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24EFC43"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076838" w14:paraId="62F27238" w14:textId="77777777" w:rsidTr="00AD1C6E">
        <w:tc>
          <w:tcPr>
            <w:tcW w:w="1667" w:type="pct"/>
          </w:tcPr>
          <w:p w14:paraId="4BA88DC1" w14:textId="77777777" w:rsidR="00076838" w:rsidRPr="0030093D" w:rsidRDefault="00076838" w:rsidP="00AD1C6E">
            <w:pPr>
              <w:spacing w:before="120" w:after="175" w:line="285" w:lineRule="exact"/>
              <w:rPr>
                <w:rFonts w:ascii="Tahoma" w:hAnsi="Tahoma" w:cs="Tahoma"/>
                <w:sz w:val="21"/>
                <w:szCs w:val="21"/>
              </w:rPr>
            </w:pPr>
          </w:p>
        </w:tc>
        <w:tc>
          <w:tcPr>
            <w:tcW w:w="1667" w:type="pct"/>
          </w:tcPr>
          <w:p w14:paraId="1C53033A" w14:textId="77777777" w:rsidR="00076838" w:rsidRPr="0030093D" w:rsidRDefault="00076838" w:rsidP="00AD1C6E">
            <w:pPr>
              <w:spacing w:before="120" w:after="175" w:line="285" w:lineRule="exact"/>
              <w:rPr>
                <w:rFonts w:ascii="Tahoma" w:hAnsi="Tahoma" w:cs="Tahoma"/>
                <w:sz w:val="21"/>
                <w:szCs w:val="21"/>
              </w:rPr>
            </w:pPr>
          </w:p>
        </w:tc>
        <w:tc>
          <w:tcPr>
            <w:tcW w:w="1666" w:type="pct"/>
          </w:tcPr>
          <w:p w14:paraId="37AF80F1" w14:textId="77777777" w:rsidR="00076838" w:rsidRPr="0030093D" w:rsidRDefault="00076838" w:rsidP="00AD1C6E">
            <w:pPr>
              <w:spacing w:before="120" w:after="175" w:line="285" w:lineRule="exact"/>
              <w:rPr>
                <w:rFonts w:ascii="Tahoma" w:hAnsi="Tahoma" w:cs="Tahoma"/>
                <w:sz w:val="21"/>
                <w:szCs w:val="21"/>
              </w:rPr>
            </w:pPr>
          </w:p>
        </w:tc>
      </w:tr>
    </w:tbl>
    <w:p w14:paraId="56FA93EF" w14:textId="7383C29A" w:rsidR="00076838" w:rsidRPr="00076838" w:rsidRDefault="00076838" w:rsidP="0007683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60A128F" w14:textId="77777777" w:rsidR="00076838" w:rsidRPr="0030093D" w:rsidRDefault="00076838" w:rsidP="0007683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2B76F6E1" w14:textId="77777777" w:rsidR="00076838" w:rsidRPr="00AD6A32" w:rsidRDefault="00076838" w:rsidP="00076838">
      <w:pPr>
        <w:spacing w:after="175" w:line="285" w:lineRule="exact"/>
        <w:ind w:left="426"/>
        <w:jc w:val="both"/>
        <w:rPr>
          <w:rFonts w:ascii="Tahoma" w:hAnsi="Tahoma" w:cs="Tahoma"/>
          <w:sz w:val="21"/>
          <w:szCs w:val="21"/>
        </w:rPr>
      </w:pPr>
      <w:r w:rsidRPr="00AD6A32">
        <w:rPr>
          <w:rFonts w:ascii="Tahoma" w:eastAsia="Tahoma" w:hAnsi="Tahoma" w:cs="Tahoma"/>
          <w:color w:val="000000"/>
          <w:sz w:val="21"/>
          <w:szCs w:val="21"/>
        </w:rPr>
        <w:t xml:space="preserve">Aprobarea adoptării </w:t>
      </w:r>
      <w:bookmarkStart w:id="0" w:name="_Hlk143073015"/>
      <w:r w:rsidRPr="00AD6A32">
        <w:rPr>
          <w:rFonts w:ascii="Tahoma" w:eastAsia="Tahoma" w:hAnsi="Tahoma" w:cs="Tahoma"/>
          <w:color w:val="000000"/>
          <w:sz w:val="21"/>
          <w:szCs w:val="21"/>
        </w:rPr>
        <w:t>politicii de remunerare actualizată a Consiliului de Administrație al Softbinator Technologies S.A., în forma prezentată acționarilor Societății drept material de prezentare și fundamentare la convocatorul Adunării Generale Ordinare a Acționarilor și stabilirea remunerației conducătorilor Societății în conformitate cu aceasta</w:t>
      </w:r>
      <w:bookmarkEnd w:id="0"/>
      <w:r w:rsidRPr="00AD6A32">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076838" w14:paraId="49FE4A44" w14:textId="77777777" w:rsidTr="00AD1C6E">
        <w:tc>
          <w:tcPr>
            <w:tcW w:w="1667" w:type="pct"/>
          </w:tcPr>
          <w:p w14:paraId="0DE9E40B"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0DE265A"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57238EA"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076838" w14:paraId="05A17A64" w14:textId="77777777" w:rsidTr="00AD1C6E">
        <w:tc>
          <w:tcPr>
            <w:tcW w:w="1667" w:type="pct"/>
          </w:tcPr>
          <w:p w14:paraId="3B73E3B4" w14:textId="77777777" w:rsidR="00076838" w:rsidRPr="0030093D" w:rsidRDefault="00076838" w:rsidP="00AD1C6E">
            <w:pPr>
              <w:spacing w:before="120" w:after="175" w:line="285" w:lineRule="exact"/>
              <w:rPr>
                <w:rFonts w:ascii="Tahoma" w:hAnsi="Tahoma" w:cs="Tahoma"/>
                <w:sz w:val="21"/>
                <w:szCs w:val="21"/>
              </w:rPr>
            </w:pPr>
          </w:p>
        </w:tc>
        <w:tc>
          <w:tcPr>
            <w:tcW w:w="1667" w:type="pct"/>
          </w:tcPr>
          <w:p w14:paraId="67F3316D" w14:textId="77777777" w:rsidR="00076838" w:rsidRPr="0030093D" w:rsidRDefault="00076838" w:rsidP="00AD1C6E">
            <w:pPr>
              <w:spacing w:before="120" w:after="175" w:line="285" w:lineRule="exact"/>
              <w:rPr>
                <w:rFonts w:ascii="Tahoma" w:hAnsi="Tahoma" w:cs="Tahoma"/>
                <w:sz w:val="21"/>
                <w:szCs w:val="21"/>
              </w:rPr>
            </w:pPr>
          </w:p>
        </w:tc>
        <w:tc>
          <w:tcPr>
            <w:tcW w:w="1666" w:type="pct"/>
          </w:tcPr>
          <w:p w14:paraId="77BC15E9" w14:textId="77777777" w:rsidR="00076838" w:rsidRPr="0030093D" w:rsidRDefault="00076838" w:rsidP="00AD1C6E">
            <w:pPr>
              <w:spacing w:before="120" w:after="175" w:line="285" w:lineRule="exact"/>
              <w:rPr>
                <w:rFonts w:ascii="Tahoma" w:hAnsi="Tahoma" w:cs="Tahoma"/>
                <w:sz w:val="21"/>
                <w:szCs w:val="21"/>
              </w:rPr>
            </w:pPr>
          </w:p>
        </w:tc>
      </w:tr>
    </w:tbl>
    <w:p w14:paraId="3BC0EE78" w14:textId="290D04F4" w:rsidR="00076838" w:rsidRPr="00076838" w:rsidRDefault="00076838" w:rsidP="0007683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389535F" w14:textId="77777777" w:rsidR="00076838" w:rsidRDefault="00076838" w:rsidP="0007683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p>
    <w:p w14:paraId="76506549" w14:textId="77777777" w:rsidR="00076838" w:rsidRDefault="00076838" w:rsidP="00076838">
      <w:pPr>
        <w:pStyle w:val="ListParagraph"/>
        <w:spacing w:after="175" w:line="285" w:lineRule="exact"/>
        <w:ind w:left="426"/>
        <w:contextualSpacing w:val="0"/>
        <w:jc w:val="both"/>
        <w:rPr>
          <w:rFonts w:ascii="Tahoma" w:hAnsi="Tahoma" w:cs="Tahoma"/>
          <w:b/>
          <w:bCs/>
          <w:sz w:val="21"/>
          <w:szCs w:val="21"/>
        </w:rPr>
      </w:pPr>
      <w:r>
        <w:rPr>
          <w:rFonts w:ascii="Tahoma" w:eastAsia="Tahoma" w:hAnsi="Tahoma" w:cs="Tahoma"/>
          <w:color w:val="000000"/>
          <w:sz w:val="21"/>
          <w:szCs w:val="21"/>
        </w:rPr>
        <w:t xml:space="preserve">Stabilirea </w:t>
      </w:r>
      <w:bookmarkStart w:id="1" w:name="_Hlk143073038"/>
      <w:r>
        <w:rPr>
          <w:rFonts w:ascii="Tahoma" w:eastAsia="Tahoma" w:hAnsi="Tahoma" w:cs="Tahoma"/>
          <w:color w:val="000000"/>
          <w:sz w:val="21"/>
          <w:szCs w:val="21"/>
        </w:rPr>
        <w:t xml:space="preserve">datei de </w:t>
      </w:r>
      <w:r>
        <w:rPr>
          <w:rFonts w:ascii="Tahoma" w:eastAsia="Tahoma" w:hAnsi="Tahoma" w:cs="Tahoma"/>
          <w:b/>
          <w:color w:val="000000"/>
          <w:sz w:val="21"/>
          <w:szCs w:val="21"/>
        </w:rPr>
        <w:t>17.10.2023</w:t>
      </w:r>
      <w:r>
        <w:rPr>
          <w:rFonts w:ascii="Tahoma" w:eastAsia="Tahoma" w:hAnsi="Tahoma" w:cs="Tahoma"/>
          <w:color w:val="000000"/>
          <w:sz w:val="21"/>
          <w:szCs w:val="21"/>
        </w:rPr>
        <w:t xml:space="preserve"> ca dată de înregistrare pentru identificarea acționarilor asupra cărora se răsfrâng efectele hotărârilor adoptate de către AGOA, în conformitate cu prevederile art. 87 (1) din Legea nr. 24/2017, a datei de </w:t>
      </w:r>
      <w:r>
        <w:rPr>
          <w:rFonts w:ascii="Tahoma" w:eastAsia="Tahoma" w:hAnsi="Tahoma" w:cs="Tahoma"/>
          <w:b/>
          <w:color w:val="000000"/>
          <w:sz w:val="21"/>
          <w:szCs w:val="21"/>
        </w:rPr>
        <w:t>16.10.2023</w:t>
      </w:r>
      <w:r>
        <w:rPr>
          <w:rFonts w:ascii="Tahoma" w:eastAsia="Tahoma" w:hAnsi="Tahoma" w:cs="Tahoma"/>
          <w:color w:val="000000"/>
          <w:sz w:val="21"/>
          <w:szCs w:val="21"/>
        </w:rPr>
        <w:t xml:space="preserve"> ca „ex-date”</w:t>
      </w:r>
      <w:r>
        <w:rPr>
          <w:color w:val="000000"/>
        </w:rPr>
        <w:t xml:space="preserve"> </w:t>
      </w:r>
      <w:r>
        <w:rPr>
          <w:rFonts w:ascii="Tahoma" w:eastAsia="Tahoma" w:hAnsi="Tahoma" w:cs="Tahoma"/>
          <w:color w:val="000000"/>
          <w:sz w:val="21"/>
          <w:szCs w:val="21"/>
        </w:rPr>
        <w:t>calculată în conformitate cu prevederile art. 2 alin. (2) lit. (l) din Regulamentul nr. 5/2018</w:t>
      </w:r>
      <w:bookmarkEnd w:id="1"/>
    </w:p>
    <w:tbl>
      <w:tblPr>
        <w:tblStyle w:val="TableGrid"/>
        <w:tblW w:w="4795" w:type="pct"/>
        <w:tblInd w:w="421" w:type="dxa"/>
        <w:tblLook w:val="04A0" w:firstRow="1" w:lastRow="0" w:firstColumn="1" w:lastColumn="0" w:noHBand="0" w:noVBand="1"/>
      </w:tblPr>
      <w:tblGrid>
        <w:gridCol w:w="2882"/>
        <w:gridCol w:w="2883"/>
        <w:gridCol w:w="2881"/>
      </w:tblGrid>
      <w:tr w:rsidR="00076838" w14:paraId="03EC6CBE" w14:textId="77777777" w:rsidTr="00AD1C6E">
        <w:tc>
          <w:tcPr>
            <w:tcW w:w="1667" w:type="pct"/>
          </w:tcPr>
          <w:p w14:paraId="054A9271"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8E0A257"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CC09A4D"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076838" w14:paraId="7C5ACC9F" w14:textId="77777777" w:rsidTr="00AD1C6E">
        <w:tc>
          <w:tcPr>
            <w:tcW w:w="1667" w:type="pct"/>
          </w:tcPr>
          <w:p w14:paraId="201476BD" w14:textId="77777777" w:rsidR="00076838" w:rsidRPr="0030093D" w:rsidRDefault="00076838" w:rsidP="00AD1C6E">
            <w:pPr>
              <w:spacing w:before="120" w:after="175" w:line="285" w:lineRule="exact"/>
              <w:rPr>
                <w:rFonts w:ascii="Tahoma" w:hAnsi="Tahoma" w:cs="Tahoma"/>
                <w:sz w:val="21"/>
                <w:szCs w:val="21"/>
              </w:rPr>
            </w:pPr>
          </w:p>
        </w:tc>
        <w:tc>
          <w:tcPr>
            <w:tcW w:w="1667" w:type="pct"/>
          </w:tcPr>
          <w:p w14:paraId="4C1BEF99" w14:textId="77777777" w:rsidR="00076838" w:rsidRPr="0030093D" w:rsidRDefault="00076838" w:rsidP="00AD1C6E">
            <w:pPr>
              <w:spacing w:before="120" w:after="175" w:line="285" w:lineRule="exact"/>
              <w:rPr>
                <w:rFonts w:ascii="Tahoma" w:hAnsi="Tahoma" w:cs="Tahoma"/>
                <w:sz w:val="21"/>
                <w:szCs w:val="21"/>
              </w:rPr>
            </w:pPr>
          </w:p>
        </w:tc>
        <w:tc>
          <w:tcPr>
            <w:tcW w:w="1666" w:type="pct"/>
          </w:tcPr>
          <w:p w14:paraId="66C3B099" w14:textId="77777777" w:rsidR="00076838" w:rsidRPr="0030093D" w:rsidRDefault="00076838" w:rsidP="00AD1C6E">
            <w:pPr>
              <w:spacing w:before="120" w:after="175" w:line="285" w:lineRule="exact"/>
              <w:rPr>
                <w:rFonts w:ascii="Tahoma" w:hAnsi="Tahoma" w:cs="Tahoma"/>
                <w:sz w:val="21"/>
                <w:szCs w:val="21"/>
              </w:rPr>
            </w:pPr>
          </w:p>
        </w:tc>
      </w:tr>
    </w:tbl>
    <w:p w14:paraId="4268F74F" w14:textId="77777777" w:rsidR="00076838" w:rsidRPr="00C26520" w:rsidRDefault="00076838" w:rsidP="00076838">
      <w:pPr>
        <w:pStyle w:val="ListParagraph"/>
        <w:spacing w:after="175" w:line="285" w:lineRule="exact"/>
        <w:ind w:left="426"/>
        <w:contextualSpacing w:val="0"/>
        <w:jc w:val="both"/>
        <w:rPr>
          <w:rFonts w:ascii="Tahoma" w:hAnsi="Tahoma" w:cs="Tahoma"/>
          <w:b/>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p>
    <w:p w14:paraId="4FE45BCD" w14:textId="77777777" w:rsidR="00076838" w:rsidRPr="0030093D" w:rsidRDefault="00076838" w:rsidP="0007683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06A2B9F8" w14:textId="77777777" w:rsidR="00076838" w:rsidRPr="00F31FA3" w:rsidRDefault="00076838" w:rsidP="00076838">
      <w:pPr>
        <w:spacing w:after="175" w:line="285" w:lineRule="exact"/>
        <w:ind w:left="426"/>
        <w:jc w:val="both"/>
        <w:rPr>
          <w:rFonts w:ascii="Tahoma" w:hAnsi="Tahoma" w:cs="Tahoma"/>
          <w:sz w:val="21"/>
          <w:szCs w:val="21"/>
        </w:rPr>
      </w:pPr>
      <w:r>
        <w:rPr>
          <w:rFonts w:ascii="Tahoma" w:eastAsia="Tahoma" w:hAnsi="Tahoma" w:cs="Tahoma"/>
          <w:color w:val="000000"/>
          <w:sz w:val="21"/>
          <w:szCs w:val="21"/>
        </w:rPr>
        <w:t xml:space="preserve">Aprobarea </w:t>
      </w:r>
      <w:bookmarkStart w:id="2" w:name="_Hlk143073051"/>
      <w:r>
        <w:rPr>
          <w:rFonts w:ascii="Tahoma" w:eastAsia="Tahoma" w:hAnsi="Tahoma" w:cs="Tahoma"/>
          <w:color w:val="000000"/>
          <w:sz w:val="21"/>
          <w:szCs w:val="21"/>
        </w:rPr>
        <w:t xml:space="preserve">împuternicirii membrilor Consiliului de Administrație și/sau Directorului General al Societății, cu posibilitatea de subdelegare, ca în numele și pe seama Societății, cu putere și </w:t>
      </w:r>
      <w:r>
        <w:rPr>
          <w:rFonts w:ascii="Tahoma" w:eastAsia="Tahoma" w:hAnsi="Tahoma" w:cs="Tahoma"/>
          <w:color w:val="000000"/>
          <w:sz w:val="21"/>
          <w:szCs w:val="21"/>
        </w:rPr>
        <w:lastRenderedPageBreak/>
        <w:t>autoritate deplină, să semneze orice documente, inclusiv hotărârea AGOA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bookmarkEnd w:id="2"/>
      <w:r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076838" w14:paraId="50B5F969" w14:textId="77777777" w:rsidTr="00AD1C6E">
        <w:tc>
          <w:tcPr>
            <w:tcW w:w="1667" w:type="pct"/>
          </w:tcPr>
          <w:p w14:paraId="2BC50130"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FCB5AB7"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763F4DF" w14:textId="77777777" w:rsidR="00076838" w:rsidRPr="0030093D" w:rsidRDefault="00076838" w:rsidP="00AD1C6E">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076838" w14:paraId="66A6CAF6" w14:textId="77777777" w:rsidTr="00AD1C6E">
        <w:tc>
          <w:tcPr>
            <w:tcW w:w="1667" w:type="pct"/>
          </w:tcPr>
          <w:p w14:paraId="702E0849" w14:textId="77777777" w:rsidR="00076838" w:rsidRPr="0030093D" w:rsidRDefault="00076838" w:rsidP="00AD1C6E">
            <w:pPr>
              <w:spacing w:before="120" w:after="175" w:line="285" w:lineRule="exact"/>
              <w:rPr>
                <w:rFonts w:ascii="Tahoma" w:hAnsi="Tahoma" w:cs="Tahoma"/>
                <w:sz w:val="21"/>
                <w:szCs w:val="21"/>
              </w:rPr>
            </w:pPr>
          </w:p>
        </w:tc>
        <w:tc>
          <w:tcPr>
            <w:tcW w:w="1667" w:type="pct"/>
          </w:tcPr>
          <w:p w14:paraId="3100BBE0" w14:textId="77777777" w:rsidR="00076838" w:rsidRPr="0030093D" w:rsidRDefault="00076838" w:rsidP="00AD1C6E">
            <w:pPr>
              <w:spacing w:before="120" w:after="175" w:line="285" w:lineRule="exact"/>
              <w:rPr>
                <w:rFonts w:ascii="Tahoma" w:hAnsi="Tahoma" w:cs="Tahoma"/>
                <w:sz w:val="21"/>
                <w:szCs w:val="21"/>
              </w:rPr>
            </w:pPr>
          </w:p>
        </w:tc>
        <w:tc>
          <w:tcPr>
            <w:tcW w:w="1666" w:type="pct"/>
          </w:tcPr>
          <w:p w14:paraId="043454D3" w14:textId="77777777" w:rsidR="00076838" w:rsidRPr="0030093D" w:rsidRDefault="00076838" w:rsidP="00AD1C6E">
            <w:pPr>
              <w:spacing w:before="120" w:after="175" w:line="285" w:lineRule="exact"/>
              <w:rPr>
                <w:rFonts w:ascii="Tahoma" w:hAnsi="Tahoma" w:cs="Tahoma"/>
                <w:sz w:val="21"/>
                <w:szCs w:val="21"/>
              </w:rPr>
            </w:pPr>
          </w:p>
        </w:tc>
      </w:tr>
    </w:tbl>
    <w:p w14:paraId="6AB7275B" w14:textId="20CD9678" w:rsidR="00D76005" w:rsidRPr="00076838" w:rsidRDefault="00076838" w:rsidP="0007683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w:t>
      </w:r>
      <w:r w:rsidR="00D042D8" w:rsidRPr="00D162A0">
        <w:rPr>
          <w:rFonts w:ascii="Tahoma" w:hAnsi="Tahoma" w:cs="Tahoma"/>
          <w:bCs/>
          <w:sz w:val="21"/>
          <w:szCs w:val="21"/>
        </w:rPr>
        <w:t xml:space="preserve">. </w:t>
      </w: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Prezentul formular de împuternicire specială a fost pus la dispoziţie în 3 (trei) exemplare originale, având următoarele destinaţii: unul pentru acţionar,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şi,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62350ACE"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Termenul limită pentru primirea de către Societate a </w:t>
      </w:r>
      <w:r w:rsidR="00BC5715">
        <w:rPr>
          <w:rFonts w:ascii="Tahoma" w:hAnsi="Tahoma" w:cs="Tahoma"/>
          <w:bCs/>
          <w:sz w:val="21"/>
          <w:szCs w:val="21"/>
        </w:rPr>
        <w:t>împuternicirilor speciale</w:t>
      </w:r>
      <w:r w:rsidRPr="00694403">
        <w:rPr>
          <w:rFonts w:ascii="Tahoma" w:hAnsi="Tahoma" w:cs="Tahoma"/>
          <w:bCs/>
          <w:sz w:val="21"/>
          <w:szCs w:val="21"/>
        </w:rPr>
        <w:t xml:space="preserve"> pentru AG</w:t>
      </w:r>
      <w:r w:rsidR="00D042D8">
        <w:rPr>
          <w:rFonts w:ascii="Tahoma" w:hAnsi="Tahoma" w:cs="Tahoma"/>
          <w:bCs/>
          <w:sz w:val="21"/>
          <w:szCs w:val="21"/>
        </w:rPr>
        <w:t>O</w:t>
      </w:r>
      <w:r w:rsidRPr="00694403">
        <w:rPr>
          <w:rFonts w:ascii="Tahoma" w:hAnsi="Tahoma" w:cs="Tahoma"/>
          <w:bCs/>
          <w:sz w:val="21"/>
          <w:szCs w:val="21"/>
        </w:rPr>
        <w:t xml:space="preserve">A este </w:t>
      </w:r>
      <w:r w:rsidR="00076838">
        <w:rPr>
          <w:rFonts w:ascii="Tahoma" w:hAnsi="Tahoma" w:cs="Tahoma"/>
          <w:bCs/>
          <w:sz w:val="21"/>
          <w:szCs w:val="21"/>
        </w:rPr>
        <w:t>25.09</w:t>
      </w:r>
      <w:r w:rsidR="00D042D8">
        <w:rPr>
          <w:rFonts w:ascii="Tahoma" w:hAnsi="Tahoma" w:cs="Tahoma"/>
          <w:bCs/>
          <w:sz w:val="21"/>
          <w:szCs w:val="21"/>
        </w:rPr>
        <w:t>.2023</w:t>
      </w:r>
      <w:r w:rsidRPr="00694403">
        <w:rPr>
          <w:rFonts w:ascii="Tahoma" w:hAnsi="Tahoma" w:cs="Tahoma"/>
          <w:bCs/>
          <w:sz w:val="21"/>
          <w:szCs w:val="21"/>
        </w:rPr>
        <w:t xml:space="preserve">, ora </w:t>
      </w:r>
      <w:r w:rsidR="00D042D8">
        <w:rPr>
          <w:rFonts w:ascii="Tahoma" w:hAnsi="Tahoma" w:cs="Tahoma"/>
          <w:bCs/>
          <w:sz w:val="21"/>
          <w:szCs w:val="21"/>
        </w:rPr>
        <w:t>08</w:t>
      </w:r>
      <w:r w:rsidRPr="00694403">
        <w:rPr>
          <w:rFonts w:ascii="Tahoma" w:hAnsi="Tahoma" w:cs="Tahoma"/>
          <w:bCs/>
          <w:sz w:val="21"/>
          <w:szCs w:val="21"/>
        </w:rPr>
        <w:t>:00 (ora Rom</w:t>
      </w:r>
      <w:r w:rsidR="006937ED" w:rsidRPr="00694403">
        <w:rPr>
          <w:rFonts w:ascii="Tahoma" w:hAnsi="Tahoma" w:cs="Tahoma"/>
          <w:bCs/>
          <w:sz w:val="21"/>
          <w:szCs w:val="21"/>
        </w:rPr>
        <w:t>â</w:t>
      </w:r>
      <w:r w:rsidRPr="00694403">
        <w:rPr>
          <w:rFonts w:ascii="Tahoma" w:hAnsi="Tahoma" w:cs="Tahoma"/>
          <w:bCs/>
          <w:sz w:val="21"/>
          <w:szCs w:val="21"/>
        </w:rPr>
        <w:t>niei).</w:t>
      </w:r>
    </w:p>
    <w:p w14:paraId="3B3DB7AF" w14:textId="77777777" w:rsidR="00B83A50" w:rsidRPr="00694403" w:rsidRDefault="00B83A50" w:rsidP="00B83A50">
      <w:pPr>
        <w:spacing w:before="120" w:after="175" w:line="285" w:lineRule="exact"/>
        <w:jc w:val="both"/>
        <w:rPr>
          <w:rFonts w:ascii="Tahoma" w:hAnsi="Tahoma" w:cs="Tahoma"/>
          <w:bCs/>
          <w:sz w:val="21"/>
          <w:szCs w:val="21"/>
        </w:rPr>
      </w:pP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62234501" w14:textId="77777777"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p w14:paraId="2C3DD620" w14:textId="77777777" w:rsidR="0030093D" w:rsidRPr="00694403" w:rsidRDefault="0030093D" w:rsidP="00B83A50">
      <w:pPr>
        <w:spacing w:after="175" w:line="285" w:lineRule="exact"/>
        <w:jc w:val="both"/>
        <w:rPr>
          <w:rFonts w:ascii="Tahoma" w:hAnsi="Tahoma" w:cs="Tahoma"/>
          <w:b/>
          <w:bCs/>
          <w:sz w:val="21"/>
          <w:szCs w:val="21"/>
        </w:rPr>
      </w:pPr>
    </w:p>
    <w:p w14:paraId="0B319995" w14:textId="51FE0B5A" w:rsidR="00A51B52" w:rsidRPr="00694403" w:rsidRDefault="00A51B52" w:rsidP="00B83A50">
      <w:pPr>
        <w:spacing w:after="175" w:line="285" w:lineRule="exact"/>
        <w:jc w:val="both"/>
        <w:rPr>
          <w:rFonts w:ascii="Tahoma" w:hAnsi="Tahoma" w:cs="Tahoma"/>
          <w:sz w:val="21"/>
          <w:szCs w:val="21"/>
        </w:rPr>
      </w:pPr>
    </w:p>
    <w:sectPr w:rsidR="00A51B52" w:rsidRPr="00694403"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A15E" w14:textId="77777777" w:rsidR="006C5074" w:rsidRDefault="006C5074" w:rsidP="00236933">
      <w:pPr>
        <w:spacing w:after="0" w:line="240" w:lineRule="auto"/>
      </w:pPr>
      <w:r>
        <w:separator/>
      </w:r>
    </w:p>
  </w:endnote>
  <w:endnote w:type="continuationSeparator" w:id="0">
    <w:p w14:paraId="52DD1596" w14:textId="77777777" w:rsidR="006C5074" w:rsidRDefault="006C5074"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A204" w14:textId="77777777" w:rsidR="006C5074" w:rsidRDefault="006C5074" w:rsidP="00236933">
      <w:pPr>
        <w:spacing w:after="0" w:line="240" w:lineRule="auto"/>
      </w:pPr>
      <w:r>
        <w:separator/>
      </w:r>
    </w:p>
  </w:footnote>
  <w:footnote w:type="continuationSeparator" w:id="0">
    <w:p w14:paraId="010BBF55" w14:textId="77777777" w:rsidR="006C5074" w:rsidRDefault="006C5074"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D7172B"/>
    <w:multiLevelType w:val="multilevel"/>
    <w:tmpl w:val="259C4FC8"/>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6" w15:restartNumberingAfterBreak="0">
    <w:nsid w:val="680A0BB8"/>
    <w:multiLevelType w:val="multilevel"/>
    <w:tmpl w:val="0409001D"/>
    <w:numStyleLink w:val="Style2"/>
  </w:abstractNum>
  <w:num w:numId="1" w16cid:durableId="1106775091">
    <w:abstractNumId w:val="10"/>
  </w:num>
  <w:num w:numId="2" w16cid:durableId="568615678">
    <w:abstractNumId w:val="11"/>
  </w:num>
  <w:num w:numId="3" w16cid:durableId="214315870">
    <w:abstractNumId w:val="3"/>
  </w:num>
  <w:num w:numId="4" w16cid:durableId="1807505338">
    <w:abstractNumId w:val="16"/>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2"/>
  </w:num>
  <w:num w:numId="6" w16cid:durableId="591012884">
    <w:abstractNumId w:val="2"/>
  </w:num>
  <w:num w:numId="7" w16cid:durableId="48573488">
    <w:abstractNumId w:val="9"/>
  </w:num>
  <w:num w:numId="8" w16cid:durableId="1273199672">
    <w:abstractNumId w:val="13"/>
  </w:num>
  <w:num w:numId="9" w16cid:durableId="1743018152">
    <w:abstractNumId w:val="4"/>
  </w:num>
  <w:num w:numId="10" w16cid:durableId="1595819137">
    <w:abstractNumId w:val="15"/>
  </w:num>
  <w:num w:numId="11" w16cid:durableId="956789751">
    <w:abstractNumId w:val="5"/>
  </w:num>
  <w:num w:numId="12" w16cid:durableId="190338006">
    <w:abstractNumId w:val="0"/>
  </w:num>
  <w:num w:numId="13" w16cid:durableId="1803423620">
    <w:abstractNumId w:val="7"/>
  </w:num>
  <w:num w:numId="14" w16cid:durableId="373387780">
    <w:abstractNumId w:val="6"/>
  </w:num>
  <w:num w:numId="15" w16cid:durableId="856623315">
    <w:abstractNumId w:val="14"/>
  </w:num>
  <w:num w:numId="16" w16cid:durableId="260265028">
    <w:abstractNumId w:val="8"/>
  </w:num>
  <w:num w:numId="17" w16cid:durableId="95383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76838"/>
    <w:rsid w:val="000B450A"/>
    <w:rsid w:val="000F1C74"/>
    <w:rsid w:val="000F4CE5"/>
    <w:rsid w:val="00103447"/>
    <w:rsid w:val="001572F6"/>
    <w:rsid w:val="001E6AE2"/>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C2125"/>
    <w:rsid w:val="003C4B18"/>
    <w:rsid w:val="003D62B4"/>
    <w:rsid w:val="003F4EC0"/>
    <w:rsid w:val="004042FC"/>
    <w:rsid w:val="004326E0"/>
    <w:rsid w:val="00453473"/>
    <w:rsid w:val="004B2B6C"/>
    <w:rsid w:val="00505693"/>
    <w:rsid w:val="005375F4"/>
    <w:rsid w:val="005F3ED3"/>
    <w:rsid w:val="005F543F"/>
    <w:rsid w:val="006131ED"/>
    <w:rsid w:val="006203F6"/>
    <w:rsid w:val="00621724"/>
    <w:rsid w:val="006937ED"/>
    <w:rsid w:val="00694403"/>
    <w:rsid w:val="006C5074"/>
    <w:rsid w:val="0070093C"/>
    <w:rsid w:val="00727CA4"/>
    <w:rsid w:val="0074129F"/>
    <w:rsid w:val="00754F9C"/>
    <w:rsid w:val="00757F9F"/>
    <w:rsid w:val="007C7D2D"/>
    <w:rsid w:val="007D3C82"/>
    <w:rsid w:val="00806650"/>
    <w:rsid w:val="008069AC"/>
    <w:rsid w:val="008339F1"/>
    <w:rsid w:val="008511A9"/>
    <w:rsid w:val="00866AA3"/>
    <w:rsid w:val="008A0107"/>
    <w:rsid w:val="008D7B71"/>
    <w:rsid w:val="008E44DD"/>
    <w:rsid w:val="00966810"/>
    <w:rsid w:val="00967C70"/>
    <w:rsid w:val="00993AF7"/>
    <w:rsid w:val="00A51B52"/>
    <w:rsid w:val="00B8251D"/>
    <w:rsid w:val="00B83A50"/>
    <w:rsid w:val="00B8551D"/>
    <w:rsid w:val="00BC5715"/>
    <w:rsid w:val="00C45929"/>
    <w:rsid w:val="00CE05F4"/>
    <w:rsid w:val="00CE3A6B"/>
    <w:rsid w:val="00D042D8"/>
    <w:rsid w:val="00D162A0"/>
    <w:rsid w:val="00D76005"/>
    <w:rsid w:val="00D778C5"/>
    <w:rsid w:val="00DB37DB"/>
    <w:rsid w:val="00DD2E38"/>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19</cp:revision>
  <dcterms:created xsi:type="dcterms:W3CDTF">2022-08-01T11:26:00Z</dcterms:created>
  <dcterms:modified xsi:type="dcterms:W3CDTF">2023-08-16T08:07:00Z</dcterms:modified>
</cp:coreProperties>
</file>